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348</w:t>
      </w:r>
    </w:p>
    <w:p>
      <w:r>
        <w:t>Bundesgericht (BGE), 2012-01-01, FR</w:t>
      </w:r>
    </w:p>
    <w:p>
      <w:r>
        <w:rPr>
          <w:b/>
        </w:rPr>
        <w:t xml:space="preserve">Quelle: </w:t>
      </w:r>
      <w:r>
        <w:t>https://mcp.opencaselaw.ch/entscheid/bge_138 III 348</w:t>
      </w:r>
    </w:p>
    <w:p>
      <w:r>
        <w:t>FR: ATF 138 III 348</w:t>
      </w:r>
    </w:p>
    <w:p>
      <w:r>
        <w:t>IT: DTF 138 III 348</w:t>
      </w:r>
    </w:p>
    <w:p>
      <w:pPr>
        <w:pStyle w:val="Heading2"/>
      </w:pPr>
      <w:r>
        <w:t>Regeste</w:t>
      </w:r>
    </w:p>
    <w:p>
      <w:r>
        <w:t>Regeste Art. 165 Abs. 2 ZGB; angemessene Entschädigung. Voraussetzungen der Gewährung einer angemessenen Entschädigung an den Ehegatten, der aus seinem Einkommen oder Vermögen an den Unterhalt der Familie mehr beigetragen hat, als er verpflichtet war (E. 7.1.1 und 7.1.2). Berechnung des Betrags der Entschädigung (E. 7.1.3). Prüfung des vorliegenden Falls (E. 7.2-7.4).</w:t>
      </w:r>
    </w:p>
    <w:p>
      <w:pPr>
        <w:pStyle w:val="Heading2"/>
      </w:pPr>
      <w:r>
        <w:t>Erwägungen</w:t>
      </w:r>
    </w:p>
    <w:p>
      <w:r>
        <w:rPr>
          <w:b/>
        </w:rPr>
        <w:t>E. 7</w:t>
      </w:r>
    </w:p>
    <w:p>
      <w:r>
        <w:t>(...) Le recourant invoque une violation de l' art. 165 al. 2 CC ainsi que des art. 9 Cst. et 4 CC en tant que l'autorité précédente ne lui a alloué qu'un montant de 40'000 fr.</w:t>
      </w:r>
    </w:p>
    <w:p>
      <w:r>
        <w:rPr>
          <w:b/>
        </w:rPr>
        <w:t>E. 7.1.1</w:t>
      </w:r>
    </w:p>
    <w:p>
      <w:r>
        <w:t>Aux termes de l' art. 163 al. 1 CC , mari et femme contribuent, chacun selon ses facultés, à l'entretien convenable de la famille. Selon leur accord, cette contribution peut consister en des prestations en argent ( art. 163 al. 2 CC ). Celles-ci sont avant tout fournies par le produit du travail de l'un des époux ou des deux, voire du rendement de leur fortune. En vertu de leur devoir général d'assistance ( art. 159 al. 3 CC ), les conjoints peuvent également être contraints, dans des circonstances particulières, d'entamer leur capital dans l'intérêt du ménage ( ATF 134 III 581 consid. 3.3 et les références citées), sous réserve d'une éventuelle indemnité au sens de l' art. 165 al. 2 CC . En vertu de cette disposition, l'époux qui, par ses revenus ou sa fortune, a contribué à l'entretien de la famille dans une mesure notablement supérieure à ce qu'il devait a droit à une indemnité équitable. Ainsi que cela résulte clairement de son texte, l' art. 165 al. 2 CC ne vise que les contributions provenant des revenus ou de BGE 138 III 348 S. 350 la fortune d'un conjoint mais ne comprend pas le travail fourni par un époux dans l'amélioration et l'entretien du bien immobilier propriété de son conjoint (cf. arrêt 5C.137/2001 du 2 octobre 2001 consid. 3b/cc, in FamPra.ch 2002 p. 118 et les références citées). De son côté, l' art. 165 al. 1 CC ne s'applique qu'au travail fourni dans le cadre de la collaboration à la profession ou à l'entreprise du conjoint (même arrêt consid. 3b/bb). Les art. 163 ss CC , notamment l' art. 165 al. 2 CC , ressortissent aux dispositions générales du droit du mariage et sont ainsi applicables quel que soit le régime matrimonial adopté par les époux, en particulier en cas de séparation de biens, alors que l' art. 206 CC ne vaut que pour le régime de la participation aux acquêts.</w:t>
      </w:r>
    </w:p>
    <w:p>
      <w:r>
        <w:rPr>
          <w:b/>
        </w:rPr>
        <w:t>E. 7.1.2</w:t>
      </w:r>
    </w:p>
    <w:p>
      <w:r>
        <w:t>Pour déterminer si une indemnité est due, il convient dans un premier temps de faire la part entre l'entretien normal au sens de l' art. 163 CC et les contributions extraordinaires de l' art. 165 al. 2 CC , la convention entre les époux concernant leurs contributions respectives constituant la base à cette détermination. A défaut d'accord entre les époux sur la répartition de leurs tâches, la mesure de l'apport pécuniaire s'apprécie selon les circonstances objectives existant au moment où celui-ci a été apporté, sans égard au fait que l'époux bénéficiaire était ou non conscient que la participation financière de son conjoint dépassait les devoirs imposés par le droit matrimonial. Il importe d'évaluer dans chaque cas la nature et l'ampleur de l'apport pécuniaire, en le mettant en rapport avec les autres prestations fournies comme contribution ordinaire aux charges du mariage. En l'absence de critères généraux applicables dans ce domaine, le juge statue en équité en se fondant sur les particularités importantes de l'espèce ( art. 4 CC ; arrêt 5A_290/2009 du 13 août 2009 consid. 3.2, in FamPra.ch 2009 p. 1065; cf. s'agissant de l' art. 165 al. 1 CC : ATF 120 II 280 consid. 6a; arrêts 5C.290/2006 du 9 mars 2007 consid. 2.1, in FamPra.ch 2007 p. 633; 5C.199/2005 du 12 octobre 2005 consid. 2.1, in FamPra.ch 2006 p. 125). La nature et la mesure concrètes de la participation financière ressortissent au domaine des faits; savoir si cette contribution est notablement supérieure aux obligations découlant des devoirs généraux du mariage est en revanche une question de droit, que le Tribunal fédéral peut revoir librement. Il s'impose toutefois une certaine retenue, compte tenu du pouvoir d'appréciation laissé au juge cantonal en la matière ( ATF 120 II 280 consid. 6a). BGE 138 III 348 S. 351</w:t>
      </w:r>
    </w:p>
    <w:p>
      <w:r>
        <w:rPr>
          <w:b/>
        </w:rPr>
        <w:t>E. 7.1.3</w:t>
      </w:r>
    </w:p>
    <w:p>
      <w:r>
        <w:t>S'agissant du montant de l'indemnité, l'époux qui remplit les conditions de l' art. 165 al. 2 CC a droit non à la restitution des sommes versées mais à une indemnité équitable. Les critères de fixation sont pour la plupart les mêmes que ceux utilisés pour statuer sur l'existence du droit; mis à part la situation et les prestations de l'époux ayant droit à une indemnité, il s'agit surtout de la situation économique du conjoint et de la situation économique générale de la famille (DESCHENAUX/STEINAUER/BADDELEY, Les effets du mariage, 2009, n. 495 et 488; HAUSHEER/REUSSER/GEISER, Berner Kommentar, 4 e éd. 1999, n os 36 et 23 ss ad art. 165 CC ; PICHONNAZ, in Commentaire romand, Code civil, vol. I, 2010, n os 42 et 23 ss ad art. 165 CC ; BRÄM/HASENBÖHLER, Zürcher Kommentar, 3 e éd. 1998, n os 51 ss ad art. 165 CC ).</w:t>
      </w:r>
    </w:p>
    <w:p>
      <w:r>
        <w:rPr>
          <w:b/>
        </w:rPr>
        <w:t>E. 7.2</w:t>
      </w:r>
    </w:p>
    <w:p>
      <w:r>
        <w:t>La cour cantonale a considéré que seuls les investissements, à hauteur de 105'324 fr., effectués par le recourant en faveur du bien immobilier, propriété de son épouse, entraient en ligne de compte en application de l' art. 165 al. 2 CC . A cet égard, elle a constaté que les époux s'étaient consacrés au ménage et aux soins des enfants de manière plus ou moins égale, tant financièrement qu'en nature. Les dépenses du recourant ayant permis non seulement l'entretien de la demeure familiale mais également son amélioration et son aménagement, ce qui a profité à toute la famille, elle a considéré qu'elles consistaient en des contributions à l'entretien de la famille au sens large. Elle a ensuite relevé que le recourant ne disposait d'aucune fortune, que les investissements faits pour l'amélioration de l'immeuble avaient manifestement contribué à la plus-value acquise par celui-ci, laquelle ne profitait qu'à l'intimée en raison du régime de la séparation de biens adopté par les époux, et que le recourant n'avait pas beaucoup bénéficié de certains aménagements apportés puisque la séparation du couple était intervenue peu de temps après leur réalisation. La juridiction en a déduit que la contribution de 105'324 fr. pour l'amélioration et l'entretien du bien immobilier, propriété de l'épouse, devait être considérée comme notablement supérieure à l'entretien exigé par l' art. 163 CC . S'agissant de la fixation de l'indemnité allouée, elle a tenu compte de la durée de la vie commune, de l'ancienneté de certaines dépenses effectuées essentiellement pour des travaux d'entretien et non d'aménagement, ce qui justifie une réduction, et du montant de la fortune mobilière de l'intimée à hauteur de 260'000 fr., dont 217'000 fr. acquis par héritage. Elle en a conclu qu'une équitable indemnité de 40'000 fr. paraissait BGE 138 III 348 S. 352 proportionnée aux moyens de l'intimée et à l'importance de la contribution du recourant.</w:t>
      </w:r>
    </w:p>
    <w:p>
      <w:r>
        <w:rPr>
          <w:b/>
        </w:rPr>
        <w:t>E. 7.3</w:t>
      </w:r>
    </w:p>
    <w:p>
      <w:r>
        <w:t>Le recourant reproche à la cour cantonale sa prise en compte des critères de fixation de l'indemnité et invoque une violation de l' art. 165 al. 2 CC , ainsi qu'une appréciation arbitraire des faits. A cet égard, il fait valoir plusieurs éléments, à savoir: qu'il a mobilisé la totalité de son temps libre et de ses revenus disponibles en faveur de la maison familiale; qu'il ne dispose, en conséquence, d'aucune fortune; que la fortune de l'intimée a été sous-estimée dès lors que la juridiction a ignoré son importante fortune immobilière; qu'il n'a que peu bénéficié de certains aménagements apportés à la maison familiale, la séparation étant intervenue peu de temps après leur réalisation; et que l'intimée profite seule de la plus-value. Par ailleurs, il se plaint de ce que l'autorité précédente a pris en compte des éléments dénués de pertinence, soit la durée de la vie commune et l'ancienneté de certaines dépenses effectuées essentiellement pour des travaux d'entretien. Sur ce point, il fait valoir que l'ancienneté des dépenses n'empêche pas leur influence décisive sur la plus-value et conteste que certaines dépenses aient été effectuées pour des travaux d'entretien. Il invoque également que certains critères essentiels n'ont pas été pris en compte, à savoir: son absence de fortune mobilière; l'importante fortune immobilière de l'intimée et les possibilités, en termes de liquidités, qui en découlent; ainsi que le fait que les revenus et le disponible de celle-ci sont plus élevés que les siens. Il en déduit que la décision entreprise heurte de manière flagrante le sentiment de justice et les principes dégagés de l'application de l' art. 4 CC , notamment en tant qu'elle ne détaille pas quelles dépenses consistaient essentiellement en des travaux d'entretien et s'inscrit en faux avec un arrêt récent du Tribunal fédéral concernant le partage d'une copropriété.</w:t>
      </w:r>
    </w:p>
    <w:p>
      <w:r>
        <w:rPr>
          <w:b/>
        </w:rPr>
        <w:t>E. 7.4</w:t>
      </w:r>
    </w:p>
    <w:p>
      <w:r>
        <w:t>Le principe du droit à une indemnité au sens de l' art. 165 al. 2 CC n'est pas remis en cause; le recourant ne conteste pas non plus que seules entrent en considération les dépenses de 105'324 fr. effectuées. S'agissant de la fixation de l'indemnité, la cour cantonale a tenu compte de la plupart des éléments invoqués par le recourant puisque ce sont précisément ceux-ci qui l'ont conduite à en allouer une (cf. supra consid. 7.2). S'il est vrai que l'intimée dispose, en sus d'une fortune mobilière, d'une fortune immobilière et de revenus supérieurs à ceux du recourant, il y a lieu de rappeler que l'époux créancier n'a pas droit, en vertu de l' art. 165 al. 2 CC , à la BGE 138 III 348 S. 353 restitution des sommes versées mais à une indemnité équitable (cf. supra consid. 7.1.3). En tenant compte pour fixer le montant de celle-ci du fait que certaines dépenses ont été essentiellement effectuées pour des travaux d'entretien, la cour cantonale a estimé, même si elle ne l'indique pas expressément, que ceux-ci n'ont que peu, voire pas, impliqué de plus-value - ils ne donneraient notamment pas droit à la plus-value au sens de l' art. 206 CC (cf. Message du 11 juillet 1979 concernant la révision du code civil suisse [Effets généraux du mariage, régimes matrimoniaux et successions] FF 1979 II 1179, 1294 ch. 222.522) - et que leur financement n'excédait pas le devoir général d'entretien de l' art. 163 CC . En outre, contrairement à ce que prétend le recourant, l'ancienneté de certaines dépenses constitue un critère pertinent dès lors que, plus celles-ci ont été effectuées antérieurement à la séparation, plus le recourant a pu en bénéficier en nature durant la vie commune. Il s'ensuit que l'autorité cantonale n'a pas abusé de son pouvoir d'appréciation lorsqu'elle a arrêté le montant de l'indemnité équitable due au recourant pour les dépenses consenties en faveur de l'amélioration de la demeure familiale à 40'000 fr., à savoir plus ou moins le montant de la fortune mobilière de l'intimée, les fonds hérités mis à part. En tous les cas, les critiques du recourant ne parviennent pas à démontrer que les conditions d'une modification de la décision cantonale rendue en vertu d'un pouvoir d'appréciation seraient réunies en l'espèce. En particulier, lorsqu'il se plaint de ce que la juridiction précédente n'a pas indiqué quelles dépenses concernaient des travaux d'entretien, il perd de vue qu'en vertu des exigences de motivation (cf. consid. 2 non publié), il lui appartenait d'établir qu'il ressortirait des faits constatés en instance cantonale que toutes celles-ci avaient amélioré ou aménagé l'immeuble et que, en conséquence, elles excédaient toutes ce qu'exigeait sa contribution à l'entretien de la famille. Enfin, la jurisprudence, à laquelle se réfère le recourant, ne lui est d'aucune aide dès lors qu'elle concerne la liquidation d'une copropriété. Le grief doit ainsi être rejeté, pour autant qu'il soit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